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4A" w:rsidRDefault="00694B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511A4A" w:rsidRDefault="00511A4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p w:rsidR="00511A4A" w:rsidRDefault="00694BAB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上海高校智库内涵建设项目申报指南</w:t>
      </w:r>
    </w:p>
    <w:p w:rsidR="00511A4A" w:rsidRDefault="00694BAB">
      <w:pPr>
        <w:spacing w:line="5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版）</w:t>
      </w:r>
    </w:p>
    <w:p w:rsidR="00511A4A" w:rsidRDefault="00511A4A">
      <w:pPr>
        <w:spacing w:line="500" w:lineRule="exact"/>
      </w:pPr>
    </w:p>
    <w:p w:rsidR="00511A4A" w:rsidRDefault="00694BAB">
      <w:pPr>
        <w:pStyle w:val="aa"/>
        <w:spacing w:line="500" w:lineRule="exact"/>
        <w:ind w:firstLineChars="0" w:firstLine="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一、国家层面：</w:t>
      </w:r>
    </w:p>
    <w:p w:rsidR="00511A4A" w:rsidRDefault="00694BAB" w:rsidP="00425BBE">
      <w:pPr>
        <w:pStyle w:val="aa"/>
        <w:spacing w:line="500" w:lineRule="exact"/>
        <w:ind w:firstLine="60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1.经济领域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高质量增长的内涵和路径、国际经济走向对中国宏观经济的影响、“中国制造2025”的实现路径和挑战、中国与他国的贸易争端、国际贸易规则修订及走势、中国核心技术突破路径、中国金融风险的防范、国际顶尖智库对国际和中国经济形势的研判等。</w:t>
      </w:r>
    </w:p>
    <w:p w:rsidR="00511A4A" w:rsidRDefault="00694BAB" w:rsidP="00425BBE">
      <w:pPr>
        <w:pStyle w:val="aa"/>
        <w:spacing w:line="500" w:lineRule="exact"/>
        <w:ind w:firstLine="60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2.政治和外交领域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党的建设、意识形态工作领导权、依法治国、社会主义民主政治建设、“一带一路”倡议中的风险防范和争端解决、中国周边地区局势发展和走向、区域国别研究、中国国家安全面临的问题和挑战、中国主场外交、中国国际舆情风险、大型纪念活动的策划和风险防范、国际顶尖智库对国际政治形势的研判等。</w:t>
      </w:r>
    </w:p>
    <w:p w:rsidR="00511A4A" w:rsidRDefault="00694BAB" w:rsidP="00425BBE">
      <w:pPr>
        <w:spacing w:line="500" w:lineRule="exact"/>
        <w:ind w:firstLineChars="200" w:firstLine="60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3.文化建设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社会主义核心价值观、思想道德建设、文化事业和文化产业、公共文化服务体系等方向、讲好中国故事和对外传播等。</w:t>
      </w:r>
    </w:p>
    <w:p w:rsidR="00511A4A" w:rsidRDefault="00694BAB" w:rsidP="00425BBE">
      <w:pPr>
        <w:spacing w:line="500" w:lineRule="exact"/>
        <w:ind w:firstLineChars="200" w:firstLine="60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4.社会建设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社会保障体系、就业、人口、养老、脱贫攻坚战、网络治理、国内舆情引导和风险防范、食品安全、医药卫生体制改革、基层医疗卫生服务体系、基层治理创新等。</w:t>
      </w:r>
    </w:p>
    <w:p w:rsidR="00511A4A" w:rsidRDefault="00694BAB" w:rsidP="00425BBE">
      <w:pPr>
        <w:spacing w:line="500" w:lineRule="exact"/>
        <w:ind w:firstLineChars="200" w:firstLine="60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5.生态文明建设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推进绿色发展、污染防治、生态系统保护和监管、对生态能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lastRenderedPageBreak/>
        <w:t>源形势的研判等。</w:t>
      </w:r>
    </w:p>
    <w:p w:rsidR="00511A4A" w:rsidRDefault="00511A4A">
      <w:pPr>
        <w:spacing w:line="500" w:lineRule="exact"/>
        <w:ind w:firstLineChars="200" w:firstLine="560"/>
        <w:rPr>
          <w:rFonts w:ascii="仿宋_GB2312" w:eastAsia="仿宋_GB2312" w:hAnsi="仿宋_GB2312" w:cs="仿宋_GB2312"/>
          <w:color w:val="222222"/>
          <w:sz w:val="28"/>
          <w:szCs w:val="28"/>
        </w:rPr>
      </w:pPr>
    </w:p>
    <w:p w:rsidR="00511A4A" w:rsidRDefault="00694BAB">
      <w:pPr>
        <w:pStyle w:val="aa"/>
        <w:spacing w:line="500" w:lineRule="exact"/>
        <w:ind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二、区域层面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1. 长三角高质量一体化发展（地区交通互联互通、能源协调发展、产业布局协同创新、数据资源共享和信息网络联通、民生公共服务一体化、市场开放、营商环境一体化等）。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 长江经济带协同发展（区域合作协调机制、城市群的协调发展和环境保护等）。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 世界级城市群的构建与核心城市作用。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上海改革开放再出发重大战略及举措。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上海“四大品牌”建设。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上海“五个中心”建设。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. 中国国际进口博览会。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. 自贸区升级和自贸港建设。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. 优化上海营商环境。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. 人工智能的发展趋势和上海布局。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11</w:t>
      </w:r>
      <w:r>
        <w:rPr>
          <w:rFonts w:ascii="仿宋_GB2312" w:eastAsia="仿宋_GB2312" w:hAnsi="仿宋_GB2312" w:cs="仿宋_GB2312" w:hint="eastAsia"/>
          <w:sz w:val="30"/>
          <w:szCs w:val="30"/>
        </w:rPr>
        <w:t>. 国际化大都市实施乡村振兴战略的路径和模式选择。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上海提升创新浓度对策研究。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上海扩大服务功能的瓶颈和关键举措。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. 特大城市的公共安全保障。</w:t>
      </w:r>
    </w:p>
    <w:p w:rsidR="00511A4A" w:rsidRDefault="00694BAB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. 上海建设“一带一路”桥头堡。</w:t>
      </w:r>
    </w:p>
    <w:p w:rsidR="00511A4A" w:rsidRPr="00013E77" w:rsidRDefault="00694BAB" w:rsidP="00013E77">
      <w:pPr>
        <w:spacing w:line="500" w:lineRule="exact"/>
        <w:ind w:firstLineChars="200" w:firstLine="600"/>
      </w:pPr>
      <w:r>
        <w:rPr>
          <w:rFonts w:ascii="仿宋_GB2312" w:eastAsia="仿宋_GB2312" w:hAnsi="仿宋_GB2312" w:cs="仿宋_GB2312" w:hint="eastAsia"/>
          <w:sz w:val="30"/>
          <w:szCs w:val="30"/>
        </w:rPr>
        <w:t>16. 上海建设亚洲医学中心城市</w:t>
      </w:r>
      <w:r w:rsidR="00013E77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sectPr w:rsidR="00511A4A" w:rsidRPr="00013E77" w:rsidSect="00511A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892" w:rsidRDefault="00D36892" w:rsidP="00511A4A">
      <w:r>
        <w:separator/>
      </w:r>
    </w:p>
  </w:endnote>
  <w:endnote w:type="continuationSeparator" w:id="0">
    <w:p w:rsidR="00D36892" w:rsidRDefault="00D36892" w:rsidP="0051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A4A" w:rsidRDefault="00C7376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4BA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3E77">
      <w:rPr>
        <w:rStyle w:val="a7"/>
        <w:noProof/>
      </w:rPr>
      <w:t>2</w:t>
    </w:r>
    <w:r>
      <w:rPr>
        <w:rStyle w:val="a7"/>
      </w:rPr>
      <w:fldChar w:fldCharType="end"/>
    </w:r>
  </w:p>
  <w:p w:rsidR="00511A4A" w:rsidRDefault="00511A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892" w:rsidRDefault="00D36892" w:rsidP="00511A4A">
      <w:r>
        <w:separator/>
      </w:r>
    </w:p>
  </w:footnote>
  <w:footnote w:type="continuationSeparator" w:id="0">
    <w:p w:rsidR="00D36892" w:rsidRDefault="00D36892" w:rsidP="00511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7BBC"/>
    <w:multiLevelType w:val="singleLevel"/>
    <w:tmpl w:val="01867BB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B5B"/>
    <w:rsid w:val="00013E77"/>
    <w:rsid w:val="000552C2"/>
    <w:rsid w:val="00073654"/>
    <w:rsid w:val="00094ADB"/>
    <w:rsid w:val="000F5BA0"/>
    <w:rsid w:val="00143B9C"/>
    <w:rsid w:val="001546D7"/>
    <w:rsid w:val="001A0AB9"/>
    <w:rsid w:val="001C0499"/>
    <w:rsid w:val="001C32B1"/>
    <w:rsid w:val="00236B43"/>
    <w:rsid w:val="00272F80"/>
    <w:rsid w:val="002A074A"/>
    <w:rsid w:val="0030512B"/>
    <w:rsid w:val="00322398"/>
    <w:rsid w:val="00332432"/>
    <w:rsid w:val="00365E27"/>
    <w:rsid w:val="00372988"/>
    <w:rsid w:val="0038342F"/>
    <w:rsid w:val="003B13D4"/>
    <w:rsid w:val="00404095"/>
    <w:rsid w:val="004147AF"/>
    <w:rsid w:val="00425BBE"/>
    <w:rsid w:val="00440BB5"/>
    <w:rsid w:val="00446A1D"/>
    <w:rsid w:val="00454DCE"/>
    <w:rsid w:val="004609E0"/>
    <w:rsid w:val="004659D0"/>
    <w:rsid w:val="00507D49"/>
    <w:rsid w:val="00511A4A"/>
    <w:rsid w:val="00544F93"/>
    <w:rsid w:val="005C459D"/>
    <w:rsid w:val="005F2019"/>
    <w:rsid w:val="0062099D"/>
    <w:rsid w:val="00633821"/>
    <w:rsid w:val="00641A1A"/>
    <w:rsid w:val="00694BAB"/>
    <w:rsid w:val="006A1C3D"/>
    <w:rsid w:val="00723EE1"/>
    <w:rsid w:val="0074740D"/>
    <w:rsid w:val="00815B41"/>
    <w:rsid w:val="0083430E"/>
    <w:rsid w:val="00851DAF"/>
    <w:rsid w:val="008F3485"/>
    <w:rsid w:val="00926431"/>
    <w:rsid w:val="009368B5"/>
    <w:rsid w:val="0097047E"/>
    <w:rsid w:val="009A248D"/>
    <w:rsid w:val="009C77F8"/>
    <w:rsid w:val="00A32869"/>
    <w:rsid w:val="00AA4256"/>
    <w:rsid w:val="00B0167D"/>
    <w:rsid w:val="00B21219"/>
    <w:rsid w:val="00B96A28"/>
    <w:rsid w:val="00C7101F"/>
    <w:rsid w:val="00C72B5B"/>
    <w:rsid w:val="00C73769"/>
    <w:rsid w:val="00CA51D3"/>
    <w:rsid w:val="00CE15F2"/>
    <w:rsid w:val="00CF1D63"/>
    <w:rsid w:val="00D11CB2"/>
    <w:rsid w:val="00D15B6D"/>
    <w:rsid w:val="00D36892"/>
    <w:rsid w:val="00D37E0D"/>
    <w:rsid w:val="00E1655D"/>
    <w:rsid w:val="00E63153"/>
    <w:rsid w:val="00F53F9D"/>
    <w:rsid w:val="00FC36D0"/>
    <w:rsid w:val="00FF35D3"/>
    <w:rsid w:val="02E8234F"/>
    <w:rsid w:val="04EA3C58"/>
    <w:rsid w:val="06484686"/>
    <w:rsid w:val="097319EC"/>
    <w:rsid w:val="2DEB6F46"/>
    <w:rsid w:val="37F061CD"/>
    <w:rsid w:val="4509455C"/>
    <w:rsid w:val="4EBF464D"/>
    <w:rsid w:val="507C4BC1"/>
    <w:rsid w:val="643C21B0"/>
    <w:rsid w:val="6F0736C7"/>
    <w:rsid w:val="6FC44C85"/>
    <w:rsid w:val="77B33458"/>
    <w:rsid w:val="799C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1A4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11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1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511A4A"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sid w:val="00511A4A"/>
  </w:style>
  <w:style w:type="character" w:styleId="a8">
    <w:name w:val="Emphasis"/>
    <w:basedOn w:val="a0"/>
    <w:uiPriority w:val="20"/>
    <w:qFormat/>
    <w:rsid w:val="00511A4A"/>
    <w:rPr>
      <w:i/>
    </w:rPr>
  </w:style>
  <w:style w:type="character" w:styleId="a9">
    <w:name w:val="Hyperlink"/>
    <w:basedOn w:val="a0"/>
    <w:uiPriority w:val="99"/>
    <w:semiHidden/>
    <w:unhideWhenUsed/>
    <w:qFormat/>
    <w:rsid w:val="00511A4A"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511A4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11A4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11A4A"/>
    <w:pPr>
      <w:ind w:firstLineChars="200" w:firstLine="420"/>
    </w:pPr>
    <w:rPr>
      <w:rFonts w:ascii="Calibri" w:hAnsi="Calibri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11A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>shmec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dell</cp:lastModifiedBy>
  <cp:revision>3</cp:revision>
  <cp:lastPrinted>2018-07-05T06:40:00Z</cp:lastPrinted>
  <dcterms:created xsi:type="dcterms:W3CDTF">2018-07-11T11:32:00Z</dcterms:created>
  <dcterms:modified xsi:type="dcterms:W3CDTF">2018-07-11T11:34:00Z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