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72EF" w:rsidRPr="00946BB3" w:rsidRDefault="00EB72EF" w:rsidP="00EB72EF">
      <w:pPr>
        <w:widowControl/>
        <w:spacing w:line="520" w:lineRule="exact"/>
        <w:rPr>
          <w:rFonts w:ascii="仿宋_GB2312" w:eastAsia="仿宋_GB2312" w:hint="eastAsia"/>
          <w:b/>
          <w:sz w:val="32"/>
          <w:szCs w:val="32"/>
        </w:rPr>
      </w:pPr>
      <w:r w:rsidRPr="00946BB3">
        <w:rPr>
          <w:rFonts w:ascii="仿宋_GB2312" w:eastAsia="仿宋_GB2312" w:hint="eastAsia"/>
          <w:b/>
          <w:sz w:val="32"/>
          <w:szCs w:val="32"/>
        </w:rPr>
        <w:t>附件</w:t>
      </w:r>
      <w:r>
        <w:rPr>
          <w:rFonts w:ascii="仿宋_GB2312" w:eastAsia="仿宋_GB2312" w:hint="eastAsia"/>
          <w:b/>
          <w:sz w:val="32"/>
          <w:szCs w:val="32"/>
        </w:rPr>
        <w:t>2</w:t>
      </w:r>
      <w:r w:rsidRPr="00946BB3">
        <w:rPr>
          <w:rFonts w:ascii="仿宋_GB2312" w:eastAsia="仿宋_GB2312" w:hint="eastAsia"/>
          <w:b/>
          <w:sz w:val="32"/>
          <w:szCs w:val="32"/>
        </w:rPr>
        <w:t>：</w:t>
      </w:r>
    </w:p>
    <w:p w:rsidR="00EB72EF" w:rsidRDefault="00EB72EF" w:rsidP="00EB72EF">
      <w:pPr>
        <w:widowControl/>
        <w:spacing w:line="520" w:lineRule="exact"/>
        <w:rPr>
          <w:rFonts w:ascii="方正小标宋简体" w:eastAsia="方正小标宋简体" w:hint="eastAsia"/>
          <w:b/>
          <w:sz w:val="36"/>
          <w:szCs w:val="36"/>
        </w:rPr>
      </w:pPr>
    </w:p>
    <w:p w:rsidR="00EB72EF" w:rsidRPr="00946BB3" w:rsidRDefault="00EB72EF" w:rsidP="00EB72EF">
      <w:pPr>
        <w:widowControl/>
        <w:spacing w:line="520" w:lineRule="exact"/>
        <w:jc w:val="center"/>
        <w:rPr>
          <w:rFonts w:ascii="黑体" w:eastAsia="黑体" w:hint="eastAsia"/>
          <w:b/>
          <w:sz w:val="32"/>
          <w:szCs w:val="32"/>
        </w:rPr>
      </w:pPr>
      <w:bookmarkStart w:id="0" w:name="_GoBack"/>
      <w:r w:rsidRPr="00946BB3">
        <w:rPr>
          <w:rFonts w:ascii="黑体" w:eastAsia="黑体" w:hint="eastAsia"/>
          <w:b/>
          <w:sz w:val="36"/>
          <w:szCs w:val="36"/>
        </w:rPr>
        <w:t>“挑战杯”上海市大学生课外学术科技作品竞赛评审规则</w:t>
      </w:r>
    </w:p>
    <w:bookmarkEnd w:id="0"/>
    <w:p w:rsidR="00EB72EF" w:rsidRPr="00E74C47" w:rsidRDefault="00EB72EF" w:rsidP="00EB72EF">
      <w:pPr>
        <w:widowControl/>
        <w:spacing w:line="520" w:lineRule="exact"/>
        <w:jc w:val="center"/>
        <w:rPr>
          <w:rFonts w:ascii="方正仿宋简体" w:eastAsia="方正仿宋简体"/>
          <w:b/>
          <w:sz w:val="32"/>
          <w:szCs w:val="32"/>
        </w:rPr>
      </w:pPr>
    </w:p>
    <w:p w:rsidR="00EB72EF" w:rsidRPr="00AC20DB" w:rsidRDefault="00EB72EF" w:rsidP="00EB72EF">
      <w:pPr>
        <w:widowControl/>
        <w:spacing w:line="520" w:lineRule="exact"/>
        <w:ind w:firstLineChars="200" w:firstLine="562"/>
        <w:rPr>
          <w:rFonts w:ascii="黑体" w:eastAsia="黑体" w:hint="eastAsia"/>
          <w:b/>
          <w:sz w:val="28"/>
          <w:szCs w:val="28"/>
        </w:rPr>
      </w:pPr>
      <w:r w:rsidRPr="00AC20DB">
        <w:rPr>
          <w:rFonts w:ascii="黑体" w:eastAsia="黑体" w:hint="eastAsia"/>
          <w:b/>
          <w:sz w:val="28"/>
          <w:szCs w:val="28"/>
        </w:rPr>
        <w:t>一、本规则依据《“挑战杯”上海市大学生课外学术科技作品竞赛章程》制定，评审委员会依据本规则制定评审实施细则。</w:t>
      </w:r>
    </w:p>
    <w:p w:rsidR="00EB72EF" w:rsidRPr="00AC20DB" w:rsidRDefault="00EB72EF" w:rsidP="00EB72EF">
      <w:pPr>
        <w:widowControl/>
        <w:spacing w:line="520" w:lineRule="exact"/>
        <w:ind w:firstLineChars="200" w:firstLine="562"/>
        <w:rPr>
          <w:rFonts w:ascii="黑体" w:eastAsia="黑体" w:hint="eastAsia"/>
          <w:b/>
          <w:sz w:val="28"/>
          <w:szCs w:val="28"/>
        </w:rPr>
      </w:pPr>
      <w:r w:rsidRPr="00AC20DB">
        <w:rPr>
          <w:rFonts w:ascii="黑体" w:eastAsia="黑体" w:hint="eastAsia"/>
          <w:b/>
          <w:sz w:val="28"/>
          <w:szCs w:val="28"/>
        </w:rPr>
        <w:t>二、评审委员会的组成</w:t>
      </w:r>
    </w:p>
    <w:p w:rsidR="00EB72EF" w:rsidRPr="00AC20DB" w:rsidRDefault="00EB72EF" w:rsidP="00EB72EF">
      <w:pPr>
        <w:widowControl/>
        <w:spacing w:line="520" w:lineRule="exact"/>
        <w:ind w:firstLineChars="200" w:firstLine="560"/>
        <w:rPr>
          <w:rFonts w:ascii="仿宋_GB2312" w:eastAsia="仿宋_GB2312" w:hint="eastAsia"/>
          <w:sz w:val="28"/>
          <w:szCs w:val="28"/>
        </w:rPr>
      </w:pPr>
      <w:r w:rsidRPr="00AC20DB">
        <w:rPr>
          <w:rFonts w:ascii="仿宋_GB2312" w:eastAsia="仿宋_GB2312" w:hint="eastAsia"/>
          <w:sz w:val="28"/>
          <w:szCs w:val="28"/>
        </w:rPr>
        <w:t>1．评审委员会由主办单位聘请非高校的具有高级职称的20名左右自然科学领域的专家和20名左右哲学社会科学领域的专家组成。</w:t>
      </w:r>
    </w:p>
    <w:p w:rsidR="00EB72EF" w:rsidRPr="00AC20DB" w:rsidRDefault="00EB72EF" w:rsidP="00EB72EF">
      <w:pPr>
        <w:widowControl/>
        <w:spacing w:line="520" w:lineRule="exact"/>
        <w:ind w:firstLineChars="200" w:firstLine="560"/>
        <w:rPr>
          <w:rFonts w:ascii="仿宋_GB2312" w:eastAsia="仿宋_GB2312" w:hint="eastAsia"/>
          <w:sz w:val="28"/>
          <w:szCs w:val="28"/>
        </w:rPr>
      </w:pPr>
      <w:r w:rsidRPr="00AC20DB">
        <w:rPr>
          <w:rFonts w:ascii="仿宋_GB2312" w:eastAsia="仿宋_GB2312" w:hint="eastAsia"/>
          <w:sz w:val="28"/>
          <w:szCs w:val="28"/>
        </w:rPr>
        <w:t>2．评审委员会设主任1名，副主任若干名，秘书长1名。下设若干专业组，各组设组长1至2名。</w:t>
      </w:r>
    </w:p>
    <w:p w:rsidR="00EB72EF" w:rsidRPr="00AC20DB" w:rsidRDefault="00EB72EF" w:rsidP="00EB72EF">
      <w:pPr>
        <w:widowControl/>
        <w:spacing w:line="520" w:lineRule="exact"/>
        <w:ind w:firstLineChars="200" w:firstLine="560"/>
        <w:rPr>
          <w:rFonts w:ascii="仿宋_GB2312" w:eastAsia="仿宋_GB2312" w:hint="eastAsia"/>
          <w:sz w:val="28"/>
          <w:szCs w:val="28"/>
        </w:rPr>
      </w:pPr>
      <w:r w:rsidRPr="00AC20DB">
        <w:rPr>
          <w:rFonts w:ascii="仿宋_GB2312" w:eastAsia="仿宋_GB2312" w:hint="eastAsia"/>
          <w:sz w:val="28"/>
          <w:szCs w:val="28"/>
        </w:rPr>
        <w:t>3．评审委员会下设由秘书长领导的秘书处，负责对参赛作品分类、统计、送阅和评审的组织服务工作。</w:t>
      </w:r>
    </w:p>
    <w:p w:rsidR="00EB72EF" w:rsidRPr="00AC20DB" w:rsidRDefault="00EB72EF" w:rsidP="00EB72EF">
      <w:pPr>
        <w:widowControl/>
        <w:spacing w:line="520" w:lineRule="exact"/>
        <w:ind w:firstLineChars="200" w:firstLine="560"/>
        <w:rPr>
          <w:rFonts w:ascii="仿宋_GB2312" w:eastAsia="仿宋_GB2312" w:hint="eastAsia"/>
          <w:sz w:val="28"/>
          <w:szCs w:val="28"/>
        </w:rPr>
      </w:pPr>
      <w:r w:rsidRPr="00AC20DB">
        <w:rPr>
          <w:rFonts w:ascii="仿宋_GB2312" w:eastAsia="仿宋_GB2312" w:hint="eastAsia"/>
          <w:sz w:val="28"/>
          <w:szCs w:val="28"/>
        </w:rPr>
        <w:t>4．评审委员会成员名单（正、副主任、秘书长除外）在决赛完毕之前实行保密，在决赛结束后可以公布。</w:t>
      </w:r>
    </w:p>
    <w:p w:rsidR="00EB72EF" w:rsidRPr="00AC20DB" w:rsidRDefault="00EB72EF" w:rsidP="00EB72EF">
      <w:pPr>
        <w:widowControl/>
        <w:spacing w:line="520" w:lineRule="exact"/>
        <w:ind w:firstLineChars="200" w:firstLine="560"/>
        <w:rPr>
          <w:rFonts w:ascii="仿宋_GB2312" w:eastAsia="仿宋_GB2312" w:hint="eastAsia"/>
          <w:sz w:val="28"/>
          <w:szCs w:val="28"/>
        </w:rPr>
      </w:pPr>
      <w:r w:rsidRPr="00AC20DB">
        <w:rPr>
          <w:rFonts w:ascii="仿宋_GB2312" w:eastAsia="仿宋_GB2312" w:hint="eastAsia"/>
          <w:sz w:val="28"/>
          <w:szCs w:val="28"/>
        </w:rPr>
        <w:t>5．评审委员会在向组织委员会报告终审结果后解散。</w:t>
      </w:r>
    </w:p>
    <w:p w:rsidR="00EB72EF" w:rsidRPr="00AC20DB" w:rsidRDefault="00EB72EF" w:rsidP="00EB72EF">
      <w:pPr>
        <w:widowControl/>
        <w:spacing w:line="520" w:lineRule="exact"/>
        <w:ind w:firstLineChars="200" w:firstLine="562"/>
        <w:rPr>
          <w:rFonts w:ascii="黑体" w:eastAsia="黑体" w:hint="eastAsia"/>
          <w:b/>
          <w:sz w:val="28"/>
          <w:szCs w:val="28"/>
        </w:rPr>
      </w:pPr>
      <w:r w:rsidRPr="00AC20DB">
        <w:rPr>
          <w:rFonts w:ascii="黑体" w:eastAsia="黑体" w:hint="eastAsia"/>
          <w:b/>
          <w:sz w:val="28"/>
          <w:szCs w:val="28"/>
        </w:rPr>
        <w:t>三、评审工作的基本原则</w:t>
      </w:r>
    </w:p>
    <w:p w:rsidR="00EB72EF" w:rsidRPr="00AC20DB" w:rsidRDefault="00EB72EF" w:rsidP="00EB72EF">
      <w:pPr>
        <w:widowControl/>
        <w:spacing w:line="520" w:lineRule="exact"/>
        <w:ind w:firstLineChars="200" w:firstLine="560"/>
        <w:rPr>
          <w:rFonts w:ascii="仿宋_GB2312" w:eastAsia="仿宋_GB2312" w:hint="eastAsia"/>
          <w:sz w:val="28"/>
          <w:szCs w:val="28"/>
        </w:rPr>
      </w:pPr>
      <w:r w:rsidRPr="00AC20DB">
        <w:rPr>
          <w:rFonts w:ascii="仿宋_GB2312" w:eastAsia="仿宋_GB2312" w:hint="eastAsia"/>
          <w:sz w:val="28"/>
          <w:szCs w:val="28"/>
        </w:rPr>
        <w:t>1．参赛作品分自然科学类学术论文、哲学社会科学类社会调查报告和学术论文、科技发明制作三类。自然科学类学术论文的作者限本专科生。哲学社会科学类社会调查报告和学术论文限定在哲学、经济、社会、法律、教育、管理等6个学科内。</w:t>
      </w:r>
    </w:p>
    <w:p w:rsidR="00EB72EF" w:rsidRPr="00AC20DB" w:rsidRDefault="00EB72EF" w:rsidP="00EB72EF">
      <w:pPr>
        <w:widowControl/>
        <w:spacing w:line="520" w:lineRule="exact"/>
        <w:ind w:firstLineChars="200" w:firstLine="560"/>
        <w:rPr>
          <w:rFonts w:ascii="仿宋_GB2312" w:eastAsia="仿宋_GB2312" w:hint="eastAsia"/>
          <w:sz w:val="28"/>
          <w:szCs w:val="28"/>
        </w:rPr>
      </w:pPr>
      <w:r w:rsidRPr="00AC20DB">
        <w:rPr>
          <w:rFonts w:ascii="仿宋_GB2312" w:eastAsia="仿宋_GB2312" w:hint="eastAsia"/>
          <w:sz w:val="28"/>
          <w:szCs w:val="28"/>
        </w:rPr>
        <w:t>2．评审过程中综合考虑作品的科学性、先进性、现实意义等方面因素。其中，自然科学类学术论文侧重考核基础学科学术探索的前沿性和学</w:t>
      </w:r>
      <w:r w:rsidRPr="00AC20DB">
        <w:rPr>
          <w:rFonts w:ascii="仿宋_GB2312" w:eastAsia="仿宋_GB2312" w:hint="eastAsia"/>
          <w:sz w:val="28"/>
          <w:szCs w:val="28"/>
        </w:rPr>
        <w:lastRenderedPageBreak/>
        <w:t>术性，哲学社会科学类社会调查报告和学术论文侧重考核与经济社会发展热点难点问题的结合程度和前瞻意义，科技发明制作侧重考核作品的应用价值和转化前景。</w:t>
      </w:r>
    </w:p>
    <w:p w:rsidR="00EB72EF" w:rsidRPr="00AC20DB" w:rsidRDefault="00EB72EF" w:rsidP="00EB72EF">
      <w:pPr>
        <w:widowControl/>
        <w:spacing w:line="520" w:lineRule="exact"/>
        <w:ind w:firstLineChars="200" w:firstLine="560"/>
        <w:rPr>
          <w:rFonts w:ascii="仿宋_GB2312" w:eastAsia="仿宋_GB2312" w:hint="eastAsia"/>
          <w:sz w:val="28"/>
          <w:szCs w:val="28"/>
        </w:rPr>
      </w:pPr>
      <w:r w:rsidRPr="00AC20DB">
        <w:rPr>
          <w:rFonts w:ascii="仿宋_GB2312" w:eastAsia="仿宋_GB2312" w:hint="eastAsia"/>
          <w:sz w:val="28"/>
          <w:szCs w:val="28"/>
        </w:rPr>
        <w:t>3．评审委员会的评审工作分复赛评审、决赛评审两阶段进行。复赛评出60％左右的参赛作品入围获奖作品，评出入围作品中的50%获得三等奖，其余50%入围决赛。在决赛中评出特等奖、一等奖、二等奖。参赛的自然科学类学术论文、哲学社会科学类社会调查报告和学术论文、科技发明制作三类作品各设特等奖、一等奖、二等奖、三等奖。各等次奖分别约占各类入围作品总数的5%、15%、30%和50%。</w:t>
      </w:r>
    </w:p>
    <w:p w:rsidR="00EB72EF" w:rsidRPr="00AC20DB" w:rsidRDefault="00EB72EF" w:rsidP="00EB72EF">
      <w:pPr>
        <w:widowControl/>
        <w:spacing w:line="520" w:lineRule="exact"/>
        <w:ind w:firstLineChars="200" w:firstLine="560"/>
        <w:rPr>
          <w:rFonts w:ascii="仿宋_GB2312" w:eastAsia="仿宋_GB2312" w:hint="eastAsia"/>
          <w:sz w:val="28"/>
          <w:szCs w:val="28"/>
        </w:rPr>
      </w:pPr>
      <w:r w:rsidRPr="00AC20DB">
        <w:rPr>
          <w:rFonts w:ascii="仿宋_GB2312" w:eastAsia="仿宋_GB2312" w:hint="eastAsia"/>
          <w:sz w:val="28"/>
          <w:szCs w:val="28"/>
        </w:rPr>
        <w:t>4. 决赛评审分为书面评审和现场评审两个部分。每件作品的决赛成绩中，书面评审得分和现场评审得分</w:t>
      </w:r>
      <w:r>
        <w:rPr>
          <w:rFonts w:ascii="仿宋_GB2312" w:eastAsia="仿宋_GB2312" w:hint="eastAsia"/>
          <w:sz w:val="28"/>
          <w:szCs w:val="28"/>
        </w:rPr>
        <w:t>别</w:t>
      </w:r>
      <w:r w:rsidRPr="00AC20DB">
        <w:rPr>
          <w:rFonts w:ascii="仿宋_GB2312" w:eastAsia="仿宋_GB2312" w:hint="eastAsia"/>
          <w:sz w:val="28"/>
          <w:szCs w:val="28"/>
        </w:rPr>
        <w:t>占</w:t>
      </w:r>
      <w:r>
        <w:rPr>
          <w:rFonts w:ascii="仿宋_GB2312" w:eastAsia="仿宋_GB2312" w:hint="eastAsia"/>
          <w:sz w:val="28"/>
          <w:szCs w:val="28"/>
        </w:rPr>
        <w:t>总成绩80%和2</w:t>
      </w:r>
      <w:r w:rsidRPr="00AC20DB">
        <w:rPr>
          <w:rFonts w:ascii="仿宋_GB2312" w:eastAsia="仿宋_GB2312" w:hint="eastAsia"/>
          <w:sz w:val="28"/>
          <w:szCs w:val="28"/>
        </w:rPr>
        <w:t>0%。</w:t>
      </w:r>
    </w:p>
    <w:p w:rsidR="00EB72EF" w:rsidRPr="00AC20DB" w:rsidRDefault="00EB72EF" w:rsidP="00EB72EF">
      <w:pPr>
        <w:widowControl/>
        <w:spacing w:line="520" w:lineRule="exact"/>
        <w:ind w:firstLineChars="200" w:firstLine="560"/>
        <w:rPr>
          <w:rFonts w:ascii="仿宋_GB2312" w:eastAsia="仿宋_GB2312" w:hint="eastAsia"/>
          <w:sz w:val="28"/>
          <w:szCs w:val="28"/>
        </w:rPr>
      </w:pPr>
      <w:r w:rsidRPr="00AC20DB">
        <w:rPr>
          <w:rFonts w:ascii="仿宋_GB2312" w:eastAsia="仿宋_GB2312" w:hint="eastAsia"/>
          <w:sz w:val="28"/>
          <w:szCs w:val="28"/>
        </w:rPr>
        <w:t>5．评审注意本专科生、硕士研究生、博士研究生在学识水平和科研能力上的差异，三个学历层次作者的作品在各等奖的获奖比例与其进入终审的比例基本一致。</w:t>
      </w:r>
    </w:p>
    <w:p w:rsidR="00EB72EF" w:rsidRPr="00AC20DB" w:rsidRDefault="00EB72EF" w:rsidP="00EB72EF">
      <w:pPr>
        <w:widowControl/>
        <w:spacing w:line="520" w:lineRule="exact"/>
        <w:ind w:firstLineChars="200" w:firstLine="560"/>
        <w:rPr>
          <w:rFonts w:ascii="仿宋_GB2312" w:eastAsia="仿宋_GB2312" w:hint="eastAsia"/>
          <w:sz w:val="28"/>
          <w:szCs w:val="28"/>
        </w:rPr>
      </w:pPr>
      <w:r w:rsidRPr="00AC20DB">
        <w:rPr>
          <w:rFonts w:ascii="仿宋_GB2312" w:eastAsia="仿宋_GB2312" w:hint="eastAsia"/>
          <w:sz w:val="28"/>
          <w:szCs w:val="28"/>
        </w:rPr>
        <w:t>6．涉及需由有关部门出具证明材料的参赛作品，须按章程的相关规定严格把关。</w:t>
      </w:r>
    </w:p>
    <w:p w:rsidR="00EB72EF" w:rsidRPr="00AC20DB" w:rsidRDefault="00EB72EF" w:rsidP="00EB72EF">
      <w:pPr>
        <w:widowControl/>
        <w:spacing w:line="520" w:lineRule="exact"/>
        <w:ind w:firstLineChars="200" w:firstLine="560"/>
        <w:rPr>
          <w:rFonts w:ascii="仿宋_GB2312" w:eastAsia="仿宋_GB2312" w:hint="eastAsia"/>
          <w:sz w:val="28"/>
          <w:szCs w:val="28"/>
        </w:rPr>
      </w:pPr>
      <w:r w:rsidRPr="00AC20DB">
        <w:rPr>
          <w:rFonts w:ascii="仿宋_GB2312" w:eastAsia="仿宋_GB2312" w:hint="eastAsia"/>
          <w:sz w:val="28"/>
          <w:szCs w:val="28"/>
        </w:rPr>
        <w:t>7．评审实行回避制度和保密制度。评委不得参与与其有直接工作联系的高校、其本人学生或亲属作品的评审工作。在评审结束之前，任何评委不得以任何方式对外宣布、泄露评审情况和结果。</w:t>
      </w:r>
    </w:p>
    <w:p w:rsidR="00EB72EF" w:rsidRPr="00AC20DB" w:rsidRDefault="00EB72EF" w:rsidP="00EB72EF">
      <w:pPr>
        <w:widowControl/>
        <w:spacing w:line="520" w:lineRule="exact"/>
        <w:ind w:firstLineChars="200" w:firstLine="562"/>
        <w:rPr>
          <w:rFonts w:ascii="黑体" w:eastAsia="黑体" w:hint="eastAsia"/>
          <w:b/>
          <w:sz w:val="28"/>
          <w:szCs w:val="28"/>
        </w:rPr>
      </w:pPr>
      <w:r w:rsidRPr="00AC20DB">
        <w:rPr>
          <w:rFonts w:ascii="黑体" w:eastAsia="黑体" w:hint="eastAsia"/>
          <w:b/>
          <w:sz w:val="28"/>
          <w:szCs w:val="28"/>
        </w:rPr>
        <w:t>四、评审程序</w:t>
      </w:r>
    </w:p>
    <w:p w:rsidR="00EB72EF" w:rsidRPr="00AC20DB" w:rsidRDefault="00EB72EF" w:rsidP="00EB72EF">
      <w:pPr>
        <w:widowControl/>
        <w:spacing w:line="520" w:lineRule="exact"/>
        <w:ind w:firstLineChars="200" w:firstLine="560"/>
        <w:rPr>
          <w:rFonts w:ascii="仿宋_GB2312" w:eastAsia="仿宋_GB2312" w:hint="eastAsia"/>
          <w:sz w:val="28"/>
          <w:szCs w:val="28"/>
        </w:rPr>
      </w:pPr>
      <w:r w:rsidRPr="00AC20DB">
        <w:rPr>
          <w:rFonts w:ascii="仿宋_GB2312" w:eastAsia="仿宋_GB2312" w:hint="eastAsia"/>
          <w:sz w:val="28"/>
          <w:szCs w:val="28"/>
        </w:rPr>
        <w:t>1．各校组织协调委员会要按照《“挑战杯”大学生课外学术科技作品竞赛资格及形式审查实施细则》规定，对报送的作品进行严格的资格和形式审查；各校评审委员会对报送作品进行认真初评。</w:t>
      </w:r>
    </w:p>
    <w:p w:rsidR="00EB72EF" w:rsidRPr="00AC20DB" w:rsidRDefault="00EB72EF" w:rsidP="00EB72EF">
      <w:pPr>
        <w:widowControl/>
        <w:spacing w:line="520" w:lineRule="exact"/>
        <w:ind w:firstLineChars="200" w:firstLine="560"/>
        <w:rPr>
          <w:rFonts w:ascii="仿宋_GB2312" w:eastAsia="仿宋_GB2312" w:hint="eastAsia"/>
          <w:sz w:val="28"/>
          <w:szCs w:val="28"/>
        </w:rPr>
      </w:pPr>
      <w:r w:rsidRPr="00AC20DB">
        <w:rPr>
          <w:rFonts w:ascii="仿宋_GB2312" w:eastAsia="仿宋_GB2312" w:hint="eastAsia"/>
          <w:sz w:val="28"/>
          <w:szCs w:val="28"/>
        </w:rPr>
        <w:lastRenderedPageBreak/>
        <w:t>2．组织委员会秘书处对各高校选送的参赛作品进行资格及形式审查，不合格的作品取消参赛资格。</w:t>
      </w:r>
    </w:p>
    <w:p w:rsidR="00EB72EF" w:rsidRPr="00AC20DB" w:rsidRDefault="00EB72EF" w:rsidP="00EB72EF">
      <w:pPr>
        <w:widowControl/>
        <w:spacing w:line="520" w:lineRule="exact"/>
        <w:ind w:firstLineChars="200" w:firstLine="560"/>
        <w:rPr>
          <w:rFonts w:ascii="仿宋_GB2312" w:eastAsia="仿宋_GB2312" w:hint="eastAsia"/>
          <w:sz w:val="28"/>
          <w:szCs w:val="28"/>
        </w:rPr>
      </w:pPr>
      <w:r w:rsidRPr="00AC20DB">
        <w:rPr>
          <w:rFonts w:ascii="仿宋_GB2312" w:eastAsia="仿宋_GB2312" w:hint="eastAsia"/>
          <w:sz w:val="28"/>
          <w:szCs w:val="28"/>
        </w:rPr>
        <w:t>3．评委可以对所评审作品的资格提出质疑，并提出质疑理由、证据或线索。受到评委质疑的作品，将提交竞赛作品资格评判委员会按程序评定其参赛资格。</w:t>
      </w:r>
    </w:p>
    <w:p w:rsidR="00EB72EF" w:rsidRPr="00AC20DB" w:rsidRDefault="00EB72EF" w:rsidP="00EB72EF">
      <w:pPr>
        <w:widowControl/>
        <w:spacing w:line="520" w:lineRule="exact"/>
        <w:ind w:firstLineChars="200" w:firstLine="560"/>
        <w:rPr>
          <w:rFonts w:ascii="仿宋_GB2312" w:eastAsia="仿宋_GB2312" w:hint="eastAsia"/>
          <w:sz w:val="28"/>
          <w:szCs w:val="28"/>
        </w:rPr>
      </w:pPr>
      <w:r w:rsidRPr="00AC20DB">
        <w:rPr>
          <w:rFonts w:ascii="仿宋_GB2312" w:eastAsia="仿宋_GB2312" w:hint="eastAsia"/>
          <w:sz w:val="28"/>
          <w:szCs w:val="28"/>
        </w:rPr>
        <w:t>4．评委会应于决赛评审开始时在主任主持下召开评委会全体会议，听取组委会对竞赛有关情况的通报。</w:t>
      </w:r>
    </w:p>
    <w:p w:rsidR="00EB72EF" w:rsidRPr="00AC20DB" w:rsidRDefault="00EB72EF" w:rsidP="00EB72EF">
      <w:pPr>
        <w:widowControl/>
        <w:spacing w:line="520" w:lineRule="exact"/>
        <w:ind w:firstLineChars="200" w:firstLine="562"/>
        <w:rPr>
          <w:rFonts w:ascii="黑体" w:eastAsia="黑体" w:hint="eastAsia"/>
          <w:b/>
          <w:sz w:val="28"/>
          <w:szCs w:val="28"/>
        </w:rPr>
      </w:pPr>
      <w:r w:rsidRPr="00AC20DB">
        <w:rPr>
          <w:rFonts w:ascii="黑体" w:eastAsia="黑体" w:hint="eastAsia"/>
          <w:b/>
          <w:sz w:val="28"/>
          <w:szCs w:val="28"/>
        </w:rPr>
        <w:t>五、各校初评工作，由该校评审委员会参照上述规则主持。</w:t>
      </w:r>
    </w:p>
    <w:p w:rsidR="00EB72EF" w:rsidRPr="00AC20DB" w:rsidRDefault="00EB72EF" w:rsidP="00EB72EF">
      <w:pPr>
        <w:widowControl/>
        <w:spacing w:line="520" w:lineRule="exact"/>
        <w:ind w:firstLineChars="200" w:firstLine="562"/>
        <w:rPr>
          <w:rFonts w:ascii="黑体" w:eastAsia="黑体" w:hint="eastAsia"/>
          <w:b/>
          <w:sz w:val="28"/>
          <w:szCs w:val="28"/>
        </w:rPr>
      </w:pPr>
      <w:r w:rsidRPr="00AC20DB">
        <w:rPr>
          <w:rFonts w:ascii="黑体" w:eastAsia="黑体" w:hint="eastAsia"/>
          <w:b/>
          <w:sz w:val="28"/>
          <w:szCs w:val="28"/>
        </w:rPr>
        <w:t>六、本规则由竞赛主办单位负责解释，并由主办单位根据《“挑战杯”全国大学生课外学术科技作品竞赛章程》和组委会的意见进行修改。</w:t>
      </w:r>
    </w:p>
    <w:p w:rsidR="00EB72EF" w:rsidRPr="00AC20DB" w:rsidRDefault="00EB72EF" w:rsidP="00EB72EF">
      <w:pPr>
        <w:widowControl/>
        <w:jc w:val="left"/>
        <w:rPr>
          <w:rFonts w:eastAsia="方正仿宋简体"/>
          <w:b/>
          <w:sz w:val="28"/>
          <w:szCs w:val="28"/>
        </w:rPr>
      </w:pPr>
    </w:p>
    <w:p w:rsidR="00EB72EF" w:rsidRPr="00AC20DB" w:rsidRDefault="00EB72EF" w:rsidP="00EB72EF">
      <w:pPr>
        <w:rPr>
          <w:sz w:val="28"/>
          <w:szCs w:val="28"/>
        </w:rPr>
        <w:sectPr w:rsidR="00EB72EF" w:rsidRPr="00AC20DB" w:rsidSect="00AC20DB">
          <w:headerReference w:type="even" r:id="rId4"/>
          <w:headerReference w:type="default" r:id="rId5"/>
          <w:footerReference w:type="even" r:id="rId6"/>
          <w:footerReference w:type="default" r:id="rId7"/>
          <w:headerReference w:type="first" r:id="rId8"/>
          <w:footerReference w:type="first" r:id="rId9"/>
          <w:pgSz w:w="11906" w:h="16838"/>
          <w:pgMar w:top="1985" w:right="1531" w:bottom="1985" w:left="1531" w:header="851" w:footer="992" w:gutter="0"/>
          <w:pgNumType w:fmt="numberInDash"/>
          <w:cols w:space="425"/>
          <w:docGrid w:type="lines" w:linePitch="312"/>
        </w:sectPr>
      </w:pPr>
    </w:p>
    <w:p w:rsidR="00ED1816" w:rsidRPr="00EB72EF" w:rsidRDefault="00ED1816"/>
    <w:sectPr w:rsidR="00ED1816" w:rsidRPr="00EB72E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仿宋简体">
    <w:altName w:val="Arial Unicode MS"/>
    <w:charset w:val="86"/>
    <w:family w:val="script"/>
    <w:pitch w:val="fixed"/>
    <w:sig w:usb0="00000000"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6513" w:rsidRDefault="00EB72EF">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20DB" w:rsidRDefault="00EB72EF">
    <w:pPr>
      <w:pStyle w:val="a4"/>
      <w:jc w:val="center"/>
    </w:pPr>
    <w:r>
      <w:fldChar w:fldCharType="begin"/>
    </w:r>
    <w:r>
      <w:instrText xml:space="preserve"> PAGE   \* MERGEFORMAT </w:instrText>
    </w:r>
    <w:r>
      <w:fldChar w:fldCharType="separate"/>
    </w:r>
    <w:r w:rsidRPr="00EB72EF">
      <w:rPr>
        <w:noProof/>
        <w:lang w:val="zh-CN"/>
      </w:rPr>
      <w:t>-</w:t>
    </w:r>
    <w:r>
      <w:rPr>
        <w:noProof/>
      </w:rPr>
      <w:t xml:space="preserve"> 2 -</w:t>
    </w:r>
    <w:r>
      <w:fldChar w:fldCharType="end"/>
    </w:r>
  </w:p>
  <w:p w:rsidR="00026513" w:rsidRDefault="00EB72EF">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6513" w:rsidRDefault="00EB72EF">
    <w:pPr>
      <w:pStyle w:val="a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6513" w:rsidRDefault="00EB72EF">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6513" w:rsidRDefault="00EB72EF" w:rsidP="00026513">
    <w:pPr>
      <w:pStyle w:val="a3"/>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6513" w:rsidRDefault="00EB72E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2EF"/>
    <w:rsid w:val="00EB72EF"/>
    <w:rsid w:val="00ED18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9DB1A2-1DED-498F-827C-D46E4D81C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72E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B72E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B72EF"/>
    <w:rPr>
      <w:rFonts w:ascii="Times New Roman" w:eastAsia="宋体" w:hAnsi="Times New Roman" w:cs="Times New Roman"/>
      <w:sz w:val="18"/>
      <w:szCs w:val="18"/>
    </w:rPr>
  </w:style>
  <w:style w:type="paragraph" w:styleId="a4">
    <w:name w:val="footer"/>
    <w:basedOn w:val="a"/>
    <w:link w:val="Char0"/>
    <w:uiPriority w:val="99"/>
    <w:unhideWhenUsed/>
    <w:rsid w:val="00EB72EF"/>
    <w:pPr>
      <w:tabs>
        <w:tab w:val="center" w:pos="4153"/>
        <w:tab w:val="right" w:pos="8306"/>
      </w:tabs>
      <w:snapToGrid w:val="0"/>
      <w:jc w:val="left"/>
    </w:pPr>
    <w:rPr>
      <w:sz w:val="18"/>
      <w:szCs w:val="18"/>
    </w:rPr>
  </w:style>
  <w:style w:type="character" w:customStyle="1" w:styleId="Char0">
    <w:name w:val="页脚 Char"/>
    <w:basedOn w:val="a0"/>
    <w:link w:val="a4"/>
    <w:uiPriority w:val="99"/>
    <w:rsid w:val="00EB72EF"/>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header" Target="header2.xml"/><Relationship Id="rId10" Type="http://schemas.openxmlformats.org/officeDocument/2006/relationships/fontTable" Target="fontTable.xml"/><Relationship Id="rId4" Type="http://schemas.openxmlformats.org/officeDocument/2006/relationships/header" Target="header1.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204</Words>
  <Characters>1167</Characters>
  <Application>Microsoft Office Word</Application>
  <DocSecurity>0</DocSecurity>
  <Lines>9</Lines>
  <Paragraphs>2</Paragraphs>
  <ScaleCrop>false</ScaleCrop>
  <Company/>
  <LinksUpToDate>false</LinksUpToDate>
  <CharactersWithSpaces>1369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shaorong</dc:creator>
  <cp:keywords/>
  <dc:description/>
  <cp:lastModifiedBy>shaorong</cp:lastModifiedBy>
  <cp:revision>1</cp:revision>
  <dcterms:created xsi:type="dcterms:W3CDTF">2014-09-25T05:17:00Z</dcterms:created>
  <dcterms:modified xsi:type="dcterms:W3CDTF">2014-09-25T05:18:00Z</dcterms:modified>
</cp:coreProperties>
</file>